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90804D" w14:textId="54567036" w:rsidR="00201AC2" w:rsidRPr="00B807A7" w:rsidRDefault="003D3A3E" w:rsidP="00201AC2">
      <w:pPr>
        <w:spacing w:after="180"/>
        <w:rPr>
          <w:b/>
          <w:sz w:val="44"/>
          <w:szCs w:val="44"/>
        </w:rPr>
      </w:pPr>
      <w:r>
        <w:rPr>
          <w:b/>
          <w:sz w:val="44"/>
          <w:szCs w:val="44"/>
        </w:rPr>
        <w:t>Blue</w:t>
      </w:r>
      <w:r w:rsidR="00284019">
        <w:rPr>
          <w:b/>
          <w:sz w:val="44"/>
          <w:szCs w:val="44"/>
        </w:rPr>
        <w:t xml:space="preserve"> crystals</w:t>
      </w:r>
    </w:p>
    <w:p w14:paraId="3596CCCF" w14:textId="1206F910" w:rsidR="00201AC2" w:rsidRDefault="00284019" w:rsidP="00201AC2">
      <w:pPr>
        <w:spacing w:after="180"/>
      </w:pPr>
      <w:r>
        <w:t>This experiment is carried out on a microscale. You will be predicting and observing what happens when a few crystals of copper sulfate are added to a small puddle of water.</w:t>
      </w:r>
    </w:p>
    <w:p w14:paraId="193CFEC1" w14:textId="77777777" w:rsidR="00B26756" w:rsidRPr="00B807A7" w:rsidRDefault="00B26756" w:rsidP="00B26756">
      <w:pPr>
        <w:spacing w:after="180"/>
        <w:rPr>
          <w:b/>
        </w:rPr>
      </w:pPr>
      <w:r w:rsidRPr="00B807A7">
        <w:rPr>
          <w:b/>
        </w:rPr>
        <w:t>Safety</w:t>
      </w:r>
    </w:p>
    <w:p w14:paraId="54060090" w14:textId="40FE9594" w:rsidR="00B26756" w:rsidRPr="00B807A7" w:rsidRDefault="003D3A3E" w:rsidP="00B26756">
      <w:pPr>
        <w:spacing w:after="180"/>
      </w:pPr>
      <w:r w:rsidRPr="00B807A7">
        <w:t>Wear eye protection.</w:t>
      </w:r>
    </w:p>
    <w:p w14:paraId="01BD2589" w14:textId="131BB3E4" w:rsidR="003D3A3E" w:rsidRDefault="003D3A3E" w:rsidP="00B26756">
      <w:pPr>
        <w:spacing w:after="180"/>
      </w:pPr>
      <w:r w:rsidRPr="00B807A7">
        <w:t>Only use wooden toothpick to transfer crystals. Avoid copper sulfate touching your skin.</w:t>
      </w:r>
    </w:p>
    <w:p w14:paraId="055074F9" w14:textId="77777777" w:rsidR="00B26756" w:rsidRPr="00E172C6" w:rsidRDefault="00B26756" w:rsidP="00B26756">
      <w:pPr>
        <w:spacing w:after="180"/>
        <w:rPr>
          <w:b/>
        </w:rPr>
      </w:pPr>
      <w:r>
        <w:rPr>
          <w:b/>
        </w:rPr>
        <w:t>Apparatus and materials</w:t>
      </w:r>
    </w:p>
    <w:p w14:paraId="7AA43411" w14:textId="4E9969B1" w:rsidR="00B26756" w:rsidRDefault="00284019" w:rsidP="00B26756">
      <w:pPr>
        <w:pStyle w:val="ListParagraph"/>
        <w:numPr>
          <w:ilvl w:val="0"/>
          <w:numId w:val="1"/>
        </w:numPr>
        <w:spacing w:after="180"/>
      </w:pPr>
      <w:r>
        <w:t>white sheet of paper</w:t>
      </w:r>
    </w:p>
    <w:p w14:paraId="01F33E42" w14:textId="1E931F08" w:rsidR="00284019" w:rsidRDefault="00284019" w:rsidP="00B26756">
      <w:pPr>
        <w:pStyle w:val="ListParagraph"/>
        <w:numPr>
          <w:ilvl w:val="0"/>
          <w:numId w:val="1"/>
        </w:numPr>
        <w:spacing w:after="180"/>
      </w:pPr>
      <w:r>
        <w:t>plastic folder</w:t>
      </w:r>
    </w:p>
    <w:p w14:paraId="635A0044" w14:textId="4195508C" w:rsidR="00284019" w:rsidRDefault="00284019" w:rsidP="00B26756">
      <w:pPr>
        <w:pStyle w:val="ListParagraph"/>
        <w:numPr>
          <w:ilvl w:val="0"/>
          <w:numId w:val="1"/>
        </w:numPr>
        <w:spacing w:after="180"/>
      </w:pPr>
      <w:r>
        <w:t>dropping pipette</w:t>
      </w:r>
    </w:p>
    <w:p w14:paraId="1B5BC67C" w14:textId="65DF3C94" w:rsidR="00284019" w:rsidRDefault="00284019" w:rsidP="00B26756">
      <w:pPr>
        <w:pStyle w:val="ListParagraph"/>
        <w:numPr>
          <w:ilvl w:val="0"/>
          <w:numId w:val="1"/>
        </w:numPr>
        <w:spacing w:after="180"/>
      </w:pPr>
      <w:r>
        <w:t>wooden tooth pick</w:t>
      </w:r>
    </w:p>
    <w:p w14:paraId="1AEFB074" w14:textId="55D602C7" w:rsidR="00284019" w:rsidRDefault="00284019" w:rsidP="00B26756">
      <w:pPr>
        <w:pStyle w:val="ListParagraph"/>
        <w:numPr>
          <w:ilvl w:val="0"/>
          <w:numId w:val="1"/>
        </w:numPr>
        <w:spacing w:after="180"/>
      </w:pPr>
      <w:r>
        <w:t>fine copper sulfate crystals</w:t>
      </w:r>
    </w:p>
    <w:p w14:paraId="086E788D" w14:textId="533912DF" w:rsidR="00B26756" w:rsidRDefault="00B26756" w:rsidP="00B26756">
      <w:pPr>
        <w:spacing w:after="180"/>
        <w:rPr>
          <w:b/>
        </w:rPr>
      </w:pPr>
      <w:r>
        <w:rPr>
          <w:b/>
        </w:rPr>
        <w:t>Procedure</w:t>
      </w:r>
    </w:p>
    <w:p w14:paraId="7DAC82B6" w14:textId="403630DD" w:rsidR="00284019" w:rsidRDefault="00284019" w:rsidP="00284019">
      <w:pPr>
        <w:spacing w:after="180"/>
      </w:pPr>
      <w:r w:rsidRPr="009F0A16">
        <w:rPr>
          <w:noProof/>
        </w:rPr>
        <w:drawing>
          <wp:anchor distT="0" distB="0" distL="114300" distR="114300" simplePos="0" relativeHeight="251658240" behindDoc="0" locked="0" layoutInCell="1" allowOverlap="1" wp14:anchorId="07E69666" wp14:editId="79FD6B31">
            <wp:simplePos x="0" y="0"/>
            <wp:positionH relativeFrom="margin">
              <wp:align>right</wp:align>
            </wp:positionH>
            <wp:positionV relativeFrom="paragraph">
              <wp:posOffset>213995</wp:posOffset>
            </wp:positionV>
            <wp:extent cx="1080770" cy="1054735"/>
            <wp:effectExtent l="184467" t="196533" r="189548" b="189547"/>
            <wp:wrapSquare wrapText="bothSides"/>
            <wp:docPr id="8" name="Picture 7">
              <a:extLst xmlns:a="http://schemas.openxmlformats.org/drawingml/2006/main">
                <a:ext uri="{FF2B5EF4-FFF2-40B4-BE49-F238E27FC236}">
                  <a16:creationId xmlns:a16="http://schemas.microsoft.com/office/drawing/2014/main" id="{C6CB2103-7B51-475C-A527-48602BAD1B4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a:extLst>
                        <a:ext uri="{FF2B5EF4-FFF2-40B4-BE49-F238E27FC236}">
                          <a16:creationId xmlns:a16="http://schemas.microsoft.com/office/drawing/2014/main" id="{C6CB2103-7B51-475C-A527-48602BAD1B47}"/>
                        </a:ext>
                      </a:extLst>
                    </pic:cNvPr>
                    <pic:cNvPicPr>
                      <a:picLocks noChangeAspect="1"/>
                    </pic:cNvPicPr>
                  </pic:nvPicPr>
                  <pic:blipFill rotWithShape="1">
                    <a:blip r:embed="rId7" cstate="print">
                      <a:extLst>
                        <a:ext uri="{28A0092B-C50C-407E-A947-70E740481C1C}">
                          <a14:useLocalDpi xmlns:a14="http://schemas.microsoft.com/office/drawing/2010/main" val="0"/>
                        </a:ext>
                      </a:extLst>
                    </a:blip>
                    <a:srcRect l="42846" t="39603" r="41830" b="40581"/>
                    <a:stretch/>
                  </pic:blipFill>
                  <pic:spPr>
                    <a:xfrm rot="16200000">
                      <a:off x="0" y="0"/>
                      <a:ext cx="1080770" cy="1054735"/>
                    </a:xfrm>
                    <a:prstGeom prst="rect">
                      <a:avLst/>
                    </a:prstGeom>
                    <a:ln>
                      <a:noFill/>
                    </a:ln>
                    <a:effectLst>
                      <a:outerShdw blurRad="190500" algn="tl" rotWithShape="0">
                        <a:srgbClr val="000000">
                          <a:alpha val="70000"/>
                        </a:srgbClr>
                      </a:outerShdw>
                    </a:effectLst>
                  </pic:spPr>
                </pic:pic>
              </a:graphicData>
            </a:graphic>
          </wp:anchor>
        </w:drawing>
      </w:r>
      <w:r>
        <w:t xml:space="preserve">Insert the white sheet of paper into a plastic folder. </w:t>
      </w:r>
    </w:p>
    <w:p w14:paraId="5AF12664" w14:textId="32B54237" w:rsidR="00284019" w:rsidRDefault="00284019" w:rsidP="00284019">
      <w:pPr>
        <w:spacing w:after="180"/>
      </w:pPr>
      <w:r>
        <w:t xml:space="preserve">Use a pipette to add a puddle of water on the plastic about 1cm in diameter. </w:t>
      </w:r>
    </w:p>
    <w:p w14:paraId="2C05CD9C" w14:textId="77777777" w:rsidR="00284019" w:rsidRDefault="00284019" w:rsidP="00284019">
      <w:pPr>
        <w:spacing w:after="180"/>
      </w:pPr>
      <w:r>
        <w:t>Dip one end of a wooden tooth pick into the water.</w:t>
      </w:r>
    </w:p>
    <w:p w14:paraId="7BD26BB3" w14:textId="4989A2C5" w:rsidR="00284019" w:rsidRDefault="00284019" w:rsidP="00284019">
      <w:pPr>
        <w:spacing w:after="180"/>
      </w:pPr>
      <w:r>
        <w:t>Then dip it into some fine copper sulfate crystals so the solid sticks.</w:t>
      </w:r>
      <w:r w:rsidRPr="00284019">
        <w:rPr>
          <w:noProof/>
        </w:rPr>
        <w:t xml:space="preserve"> </w:t>
      </w:r>
    </w:p>
    <w:p w14:paraId="058DD859" w14:textId="42F8C78C" w:rsidR="00284019" w:rsidRPr="00284019" w:rsidRDefault="00284019" w:rsidP="00284019">
      <w:pPr>
        <w:spacing w:after="180"/>
      </w:pPr>
      <w:r>
        <w:t xml:space="preserve">Carefully dip back into the puddle to leave a few blue copper sulfate crystals. </w:t>
      </w:r>
    </w:p>
    <w:p w14:paraId="1F623801" w14:textId="72EB95E9" w:rsidR="00284019" w:rsidRDefault="00284019" w:rsidP="00284019">
      <w:pPr>
        <w:spacing w:after="180"/>
        <w:rPr>
          <w:b/>
        </w:rPr>
      </w:pPr>
    </w:p>
    <w:p w14:paraId="4C229C83" w14:textId="79E69EAC" w:rsidR="00284019" w:rsidRPr="009F0A16" w:rsidRDefault="00284019" w:rsidP="00284019">
      <w:pPr>
        <w:spacing w:after="180"/>
        <w:rPr>
          <w:b/>
          <w:highlight w:val="yellow"/>
        </w:rPr>
      </w:pPr>
      <w:r w:rsidRPr="009F0A16">
        <w:rPr>
          <w:b/>
        </w:rPr>
        <w:t>Predict</w:t>
      </w:r>
    </w:p>
    <w:p w14:paraId="03365999" w14:textId="77777777" w:rsidR="00284019" w:rsidRDefault="00284019" w:rsidP="00284019">
      <w:pPr>
        <w:spacing w:after="180"/>
      </w:pPr>
      <w:r w:rsidRPr="009F0A16">
        <w:t>What do you predict that you would observe?</w:t>
      </w:r>
    </w:p>
    <w:p w14:paraId="4E78216A" w14:textId="51F90B85" w:rsidR="00284019" w:rsidRDefault="00284019" w:rsidP="00284019">
      <w:pPr>
        <w:spacing w:after="180"/>
      </w:pPr>
    </w:p>
    <w:p w14:paraId="71A6C110" w14:textId="77777777" w:rsidR="00284019" w:rsidRPr="009F0A16" w:rsidRDefault="00284019" w:rsidP="00284019">
      <w:pPr>
        <w:spacing w:after="180"/>
        <w:rPr>
          <w:b/>
        </w:rPr>
      </w:pPr>
      <w:r w:rsidRPr="009F0A16">
        <w:rPr>
          <w:b/>
        </w:rPr>
        <w:t>Explain</w:t>
      </w:r>
    </w:p>
    <w:p w14:paraId="25496FAF" w14:textId="77777777" w:rsidR="00284019" w:rsidRDefault="00284019" w:rsidP="00284019">
      <w:pPr>
        <w:spacing w:after="180"/>
      </w:pPr>
      <w:r w:rsidRPr="009F0A16">
        <w:t>Explain the thinking behind your prediction.</w:t>
      </w:r>
    </w:p>
    <w:p w14:paraId="0D4E6392" w14:textId="77777777" w:rsidR="00284019" w:rsidRDefault="00284019" w:rsidP="00284019">
      <w:pPr>
        <w:spacing w:after="180"/>
      </w:pPr>
    </w:p>
    <w:p w14:paraId="134E8719" w14:textId="77777777" w:rsidR="00284019" w:rsidRPr="009F0A16" w:rsidRDefault="00284019" w:rsidP="00284019">
      <w:pPr>
        <w:spacing w:after="180"/>
        <w:rPr>
          <w:b/>
        </w:rPr>
      </w:pPr>
      <w:r w:rsidRPr="009F0A16">
        <w:rPr>
          <w:b/>
        </w:rPr>
        <w:t>Observe</w:t>
      </w:r>
    </w:p>
    <w:p w14:paraId="46A18041" w14:textId="77777777" w:rsidR="00284019" w:rsidRDefault="00284019" w:rsidP="00284019">
      <w:pPr>
        <w:spacing w:after="180"/>
      </w:pPr>
      <w:r w:rsidRPr="009F0A16">
        <w:t>Describe what happens.</w:t>
      </w:r>
    </w:p>
    <w:p w14:paraId="3CC223F7" w14:textId="77777777" w:rsidR="00284019" w:rsidRPr="009F0A16" w:rsidRDefault="00284019" w:rsidP="00284019">
      <w:pPr>
        <w:spacing w:after="180"/>
        <w:rPr>
          <w:b/>
        </w:rPr>
      </w:pPr>
      <w:r w:rsidRPr="009F0A16">
        <w:rPr>
          <w:b/>
        </w:rPr>
        <w:t>Explain</w:t>
      </w:r>
    </w:p>
    <w:p w14:paraId="7EEA9936" w14:textId="77777777" w:rsidR="00284019" w:rsidRPr="009F0A16" w:rsidRDefault="00284019" w:rsidP="00284019">
      <w:pPr>
        <w:spacing w:after="180"/>
      </w:pPr>
      <w:r w:rsidRPr="009F0A16">
        <w:t>Now that you have seen what happens, can you explain your observations? (If your prediction and explanation earlier were right, just say so. There is no need to write it again.)</w:t>
      </w:r>
    </w:p>
    <w:p w14:paraId="13AEA2BB" w14:textId="77777777" w:rsidR="00284019" w:rsidRDefault="00284019" w:rsidP="00284019">
      <w:pPr>
        <w:spacing w:after="180"/>
      </w:pPr>
    </w:p>
    <w:p w14:paraId="5E408DD5" w14:textId="117EBFA1" w:rsidR="006D0E87" w:rsidRPr="006F3279" w:rsidRDefault="006D0E87" w:rsidP="006D0E87">
      <w:pPr>
        <w:spacing w:after="240"/>
        <w:rPr>
          <w:i/>
          <w:sz w:val="18"/>
          <w:szCs w:val="18"/>
        </w:rPr>
      </w:pPr>
      <w:r>
        <w:rPr>
          <w:i/>
          <w:sz w:val="18"/>
          <w:szCs w:val="18"/>
        </w:rPr>
        <w:lastRenderedPageBreak/>
        <w:t>Chemistry</w:t>
      </w:r>
      <w:r w:rsidRPr="00CA4B46">
        <w:rPr>
          <w:i/>
          <w:sz w:val="18"/>
          <w:szCs w:val="18"/>
        </w:rPr>
        <w:t xml:space="preserve"> &gt; </w:t>
      </w:r>
      <w:r>
        <w:rPr>
          <w:i/>
          <w:sz w:val="18"/>
          <w:szCs w:val="18"/>
        </w:rPr>
        <w:t>Big idea CPS: Particles</w:t>
      </w:r>
      <w:r w:rsidR="00E872CF">
        <w:rPr>
          <w:i/>
          <w:sz w:val="18"/>
          <w:szCs w:val="18"/>
        </w:rPr>
        <w:t xml:space="preserve"> and structure</w:t>
      </w:r>
      <w:r>
        <w:rPr>
          <w:i/>
          <w:sz w:val="18"/>
          <w:szCs w:val="18"/>
        </w:rPr>
        <w:t xml:space="preserve">&gt; Topic CPS1: </w:t>
      </w:r>
      <w:r w:rsidR="00B73D81">
        <w:rPr>
          <w:i/>
          <w:sz w:val="18"/>
          <w:szCs w:val="18"/>
        </w:rPr>
        <w:t>Substances and mixtures</w:t>
      </w:r>
      <w:r w:rsidRPr="00CA4B46">
        <w:rPr>
          <w:i/>
          <w:sz w:val="18"/>
          <w:szCs w:val="18"/>
        </w:rPr>
        <w:t xml:space="preserve"> &gt; </w:t>
      </w:r>
      <w:r>
        <w:rPr>
          <w:i/>
          <w:sz w:val="18"/>
          <w:szCs w:val="18"/>
        </w:rPr>
        <w:t>Key concept</w:t>
      </w:r>
      <w:r w:rsidRPr="00CA4B46">
        <w:rPr>
          <w:i/>
          <w:sz w:val="18"/>
          <w:szCs w:val="18"/>
        </w:rPr>
        <w:t xml:space="preserve"> </w:t>
      </w:r>
      <w:r>
        <w:rPr>
          <w:i/>
          <w:sz w:val="18"/>
          <w:szCs w:val="18"/>
        </w:rPr>
        <w:t>CPS1.2</w:t>
      </w:r>
      <w:r w:rsidRPr="00CA4B46">
        <w:rPr>
          <w:i/>
          <w:sz w:val="18"/>
          <w:szCs w:val="18"/>
        </w:rPr>
        <w:t xml:space="preserve">: </w:t>
      </w:r>
      <w:r>
        <w:rPr>
          <w:i/>
          <w:sz w:val="18"/>
          <w:szCs w:val="18"/>
        </w:rPr>
        <w:t>Particles in solutions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0AA458F7" w14:textId="77777777" w:rsidTr="0010427F">
        <w:tc>
          <w:tcPr>
            <w:tcW w:w="12021" w:type="dxa"/>
            <w:shd w:val="clear" w:color="auto" w:fill="FABF8F" w:themeFill="accent6" w:themeFillTint="99"/>
          </w:tcPr>
          <w:p w14:paraId="1E0D989C" w14:textId="7D15A4D5" w:rsidR="006F3279" w:rsidRPr="00CA4B46" w:rsidRDefault="00B00348" w:rsidP="00B00348">
            <w:pPr>
              <w:ind w:left="1304"/>
              <w:rPr>
                <w:b/>
                <w:sz w:val="40"/>
                <w:szCs w:val="40"/>
              </w:rPr>
            </w:pPr>
            <w:r>
              <w:rPr>
                <w:b/>
                <w:sz w:val="40"/>
                <w:szCs w:val="40"/>
              </w:rPr>
              <w:t xml:space="preserve">Response </w:t>
            </w:r>
            <w:r w:rsidR="00B807A7">
              <w:rPr>
                <w:b/>
                <w:sz w:val="40"/>
                <w:szCs w:val="40"/>
              </w:rPr>
              <w:t>activity</w:t>
            </w:r>
          </w:p>
        </w:tc>
      </w:tr>
      <w:tr w:rsidR="006F3279" w14:paraId="346F2004" w14:textId="77777777" w:rsidTr="0010427F">
        <w:tc>
          <w:tcPr>
            <w:tcW w:w="12021" w:type="dxa"/>
            <w:shd w:val="clear" w:color="auto" w:fill="FBD4B4" w:themeFill="accent6" w:themeFillTint="66"/>
          </w:tcPr>
          <w:p w14:paraId="5DF5A95C" w14:textId="08140DC0" w:rsidR="006F3279" w:rsidRPr="00CA4B46" w:rsidRDefault="003D3A3E" w:rsidP="006F3279">
            <w:pPr>
              <w:spacing w:after="60"/>
              <w:ind w:left="1304"/>
              <w:rPr>
                <w:b/>
                <w:sz w:val="40"/>
                <w:szCs w:val="40"/>
              </w:rPr>
            </w:pPr>
            <w:r>
              <w:rPr>
                <w:b/>
                <w:sz w:val="40"/>
                <w:szCs w:val="40"/>
              </w:rPr>
              <w:t>Blue</w:t>
            </w:r>
            <w:r w:rsidR="006D0E87">
              <w:rPr>
                <w:b/>
                <w:sz w:val="40"/>
                <w:szCs w:val="40"/>
              </w:rPr>
              <w:t xml:space="preserve"> crystals</w:t>
            </w:r>
          </w:p>
        </w:tc>
      </w:tr>
    </w:tbl>
    <w:p w14:paraId="262BFB04" w14:textId="77777777" w:rsidR="006F3279" w:rsidRPr="006F3279" w:rsidRDefault="006F3279" w:rsidP="00E172C6">
      <w:pPr>
        <w:spacing w:after="180"/>
        <w:rPr>
          <w:b/>
        </w:rPr>
      </w:pP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6D0E87" w14:paraId="7537446E" w14:textId="77777777" w:rsidTr="00525D6C">
        <w:trPr>
          <w:trHeight w:val="340"/>
        </w:trPr>
        <w:tc>
          <w:tcPr>
            <w:tcW w:w="2196" w:type="dxa"/>
          </w:tcPr>
          <w:p w14:paraId="1CD8E99C" w14:textId="4B633D10" w:rsidR="006D0E87" w:rsidRDefault="006D0E87" w:rsidP="00525D6C">
            <w:pPr>
              <w:spacing w:before="60" w:after="60"/>
            </w:pPr>
            <w:r>
              <w:t xml:space="preserve">Learning </w:t>
            </w:r>
            <w:r w:rsidR="00B807A7">
              <w:t>focus</w:t>
            </w:r>
            <w:r>
              <w:t>:</w:t>
            </w:r>
          </w:p>
        </w:tc>
        <w:tc>
          <w:tcPr>
            <w:tcW w:w="6820" w:type="dxa"/>
          </w:tcPr>
          <w:p w14:paraId="4886C4C3" w14:textId="77777777" w:rsidR="006D0E87" w:rsidRDefault="006D0E87" w:rsidP="00525D6C">
            <w:pPr>
              <w:spacing w:before="60" w:after="60"/>
            </w:pPr>
            <w:r w:rsidRPr="00C42192">
              <w:t>Understand how a particle model of matter can be used to describe and explain solutions.</w:t>
            </w:r>
          </w:p>
        </w:tc>
      </w:tr>
      <w:tr w:rsidR="006D0E87" w14:paraId="55F226EA" w14:textId="77777777" w:rsidTr="00525D6C">
        <w:trPr>
          <w:trHeight w:val="340"/>
        </w:trPr>
        <w:tc>
          <w:tcPr>
            <w:tcW w:w="2196" w:type="dxa"/>
          </w:tcPr>
          <w:p w14:paraId="644916C3" w14:textId="77777777" w:rsidR="006D0E87" w:rsidRDefault="006D0E87" w:rsidP="00525D6C">
            <w:pPr>
              <w:spacing w:before="60" w:after="60"/>
            </w:pPr>
            <w:r>
              <w:t>Observable learning outcome:</w:t>
            </w:r>
          </w:p>
        </w:tc>
        <w:tc>
          <w:tcPr>
            <w:tcW w:w="6820" w:type="dxa"/>
          </w:tcPr>
          <w:p w14:paraId="62FB18C5" w14:textId="77777777" w:rsidR="006D0E87" w:rsidRPr="00A50C9C" w:rsidRDefault="006D0E87" w:rsidP="00525D6C">
            <w:pPr>
              <w:spacing w:before="60" w:after="60"/>
              <w:rPr>
                <w:b/>
              </w:rPr>
            </w:pPr>
            <w:r w:rsidRPr="009F0A16">
              <w:t>Explain why stirring is not necessary for dissolving.</w:t>
            </w:r>
          </w:p>
        </w:tc>
      </w:tr>
      <w:tr w:rsidR="006D0E87" w14:paraId="7B9DCA9A" w14:textId="77777777" w:rsidTr="00525D6C">
        <w:trPr>
          <w:trHeight w:val="340"/>
        </w:trPr>
        <w:tc>
          <w:tcPr>
            <w:tcW w:w="2196" w:type="dxa"/>
          </w:tcPr>
          <w:p w14:paraId="45CBC7AF" w14:textId="5CB71A5C" w:rsidR="006D0E87" w:rsidRDefault="00B807A7" w:rsidP="00525D6C">
            <w:pPr>
              <w:spacing w:before="60" w:after="60"/>
            </w:pPr>
            <w:r>
              <w:t xml:space="preserve">Activity </w:t>
            </w:r>
            <w:r w:rsidR="006D0E87">
              <w:t>type:</w:t>
            </w:r>
          </w:p>
        </w:tc>
        <w:tc>
          <w:tcPr>
            <w:tcW w:w="6820" w:type="dxa"/>
          </w:tcPr>
          <w:p w14:paraId="35B854E6" w14:textId="5904DAD9" w:rsidR="006D0E87" w:rsidRDefault="00355EE4" w:rsidP="00525D6C">
            <w:pPr>
              <w:spacing w:before="60" w:after="60"/>
            </w:pPr>
            <w:r>
              <w:t>predict-explain-observe-explain</w:t>
            </w:r>
          </w:p>
        </w:tc>
      </w:tr>
      <w:tr w:rsidR="006D0E87" w14:paraId="5250F131" w14:textId="77777777" w:rsidTr="00525D6C">
        <w:trPr>
          <w:trHeight w:val="340"/>
        </w:trPr>
        <w:tc>
          <w:tcPr>
            <w:tcW w:w="2196" w:type="dxa"/>
          </w:tcPr>
          <w:p w14:paraId="6F7267FC" w14:textId="77777777" w:rsidR="006D0E87" w:rsidRDefault="006D0E87" w:rsidP="00525D6C">
            <w:pPr>
              <w:spacing w:before="60" w:after="60"/>
            </w:pPr>
            <w:r>
              <w:t>Key words:</w:t>
            </w:r>
          </w:p>
        </w:tc>
        <w:tc>
          <w:tcPr>
            <w:tcW w:w="6820" w:type="dxa"/>
            <w:tcBorders>
              <w:bottom w:val="dotted" w:sz="4" w:space="0" w:color="auto"/>
            </w:tcBorders>
          </w:tcPr>
          <w:p w14:paraId="130C1A12" w14:textId="77777777" w:rsidR="006D0E87" w:rsidRDefault="006D0E87" w:rsidP="00525D6C">
            <w:pPr>
              <w:spacing w:before="60" w:after="60"/>
            </w:pPr>
            <w:r w:rsidRPr="009F0A16">
              <w:t>dissolve, particle, diffusion</w:t>
            </w:r>
          </w:p>
        </w:tc>
      </w:tr>
    </w:tbl>
    <w:p w14:paraId="671AFA84" w14:textId="4BA5D213" w:rsidR="00F72ECC" w:rsidRDefault="00F72ECC" w:rsidP="00F72ECC">
      <w:pPr>
        <w:rPr>
          <w:b/>
          <w:color w:val="E36C0A" w:themeColor="accent6" w:themeShade="BF"/>
          <w:sz w:val="24"/>
        </w:rPr>
      </w:pPr>
    </w:p>
    <w:p w14:paraId="74186DCE" w14:textId="5A946A7A" w:rsidR="00B807A7" w:rsidRDefault="00B807A7" w:rsidP="00B807A7">
      <w:pPr>
        <w:spacing w:after="180"/>
      </w:pPr>
      <w:r>
        <w:t xml:space="preserve">This activity can help develop students’ understanding by addressing the </w:t>
      </w:r>
      <w:r w:rsidR="00355EE4">
        <w:t>misunderstandings</w:t>
      </w:r>
      <w:r>
        <w:t xml:space="preserve"> revealed by the following diagnostic question:</w:t>
      </w:r>
    </w:p>
    <w:p w14:paraId="6839612F" w14:textId="2EF3A58E" w:rsidR="00B807A7" w:rsidRPr="00B807A7" w:rsidRDefault="00B807A7" w:rsidP="00B807A7">
      <w:pPr>
        <w:pStyle w:val="ListParagraph"/>
        <w:numPr>
          <w:ilvl w:val="0"/>
          <w:numId w:val="1"/>
        </w:numPr>
        <w:spacing w:after="180"/>
      </w:pPr>
      <w:r w:rsidRPr="00B807A7">
        <w:t>Purple crystal</w:t>
      </w:r>
    </w:p>
    <w:p w14:paraId="33790955" w14:textId="77777777" w:rsidR="00B807A7" w:rsidRDefault="00B807A7" w:rsidP="00F72ECC"/>
    <w:p w14:paraId="11098BD9" w14:textId="77777777" w:rsidR="00C05571" w:rsidRPr="0010427F" w:rsidRDefault="00BB44B4" w:rsidP="00026DEC">
      <w:pPr>
        <w:spacing w:after="180"/>
        <w:rPr>
          <w:b/>
          <w:color w:val="E36C0A" w:themeColor="accent6" w:themeShade="BF"/>
          <w:sz w:val="24"/>
        </w:rPr>
      </w:pPr>
      <w:r w:rsidRPr="0010427F">
        <w:rPr>
          <w:b/>
          <w:color w:val="E36C0A" w:themeColor="accent6" w:themeShade="BF"/>
          <w:sz w:val="24"/>
        </w:rPr>
        <w:t>What does the research say</w:t>
      </w:r>
      <w:r w:rsidR="00C05571" w:rsidRPr="0010427F">
        <w:rPr>
          <w:b/>
          <w:color w:val="E36C0A" w:themeColor="accent6" w:themeShade="BF"/>
          <w:sz w:val="24"/>
        </w:rPr>
        <w:t>?</w:t>
      </w:r>
    </w:p>
    <w:p w14:paraId="79DFEA22" w14:textId="0AC5ABF5" w:rsidR="006D0E87" w:rsidRDefault="006D0E87" w:rsidP="006D0E87">
      <w:pPr>
        <w:spacing w:after="180"/>
      </w:pPr>
      <w:r>
        <w:t>Johnstone (1991) explains the difficulties that many students face in understanding science as the degree of ‘multilevel’ though</w:t>
      </w:r>
      <w:r w:rsidR="00355EE4">
        <w:t>t</w:t>
      </w:r>
      <w:r>
        <w:t xml:space="preserve"> required. In chemistry students are frequently required to think about very different types of thing all at once.</w:t>
      </w:r>
    </w:p>
    <w:p w14:paraId="1E26128A" w14:textId="77777777" w:rsidR="006D0E87" w:rsidRDefault="006D0E87" w:rsidP="006D0E87">
      <w:pPr>
        <w:spacing w:after="180"/>
      </w:pPr>
      <w:r>
        <w:t>Johnstone presented this in the form of a triangle:</w:t>
      </w:r>
    </w:p>
    <w:p w14:paraId="35A1F919" w14:textId="77777777" w:rsidR="006D0E87" w:rsidRDefault="006D0E87" w:rsidP="006D0E87">
      <w:pPr>
        <w:spacing w:after="180"/>
      </w:pPr>
    </w:p>
    <w:p w14:paraId="21DDFA11" w14:textId="77777777" w:rsidR="006D0E87" w:rsidRDefault="006D0E87" w:rsidP="006D0E87">
      <w:pPr>
        <w:spacing w:after="180"/>
      </w:pPr>
      <w:r>
        <w:rPr>
          <w:noProof/>
        </w:rPr>
        <w:drawing>
          <wp:inline distT="0" distB="0" distL="0" distR="0" wp14:anchorId="19E8DB7B" wp14:editId="1538AF97">
            <wp:extent cx="1908184" cy="13239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JOhnstone's traingl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12610" cy="1327046"/>
                    </a:xfrm>
                    <a:prstGeom prst="rect">
                      <a:avLst/>
                    </a:prstGeom>
                  </pic:spPr>
                </pic:pic>
              </a:graphicData>
            </a:graphic>
          </wp:inline>
        </w:drawing>
      </w:r>
    </w:p>
    <w:p w14:paraId="5BCF2AAD" w14:textId="77777777" w:rsidR="006D0E87" w:rsidRDefault="006D0E87" w:rsidP="006D0E87">
      <w:pPr>
        <w:spacing w:after="180"/>
        <w:rPr>
          <w:i/>
        </w:rPr>
      </w:pPr>
      <w:r w:rsidRPr="00682D3A">
        <w:rPr>
          <w:i/>
        </w:rPr>
        <w:t>(after Johnstone, 1991, p78)</w:t>
      </w:r>
    </w:p>
    <w:p w14:paraId="35A51A25" w14:textId="542304A3" w:rsidR="006D0E87" w:rsidRPr="009F0A16" w:rsidRDefault="006D0E87" w:rsidP="006D0E87">
      <w:pPr>
        <w:spacing w:after="180"/>
      </w:pPr>
      <w:r>
        <w:t>In addition to a static particle representation</w:t>
      </w:r>
      <w:r w:rsidR="00B807A7">
        <w:t>,</w:t>
      </w:r>
      <w:r>
        <w:t xml:space="preserve"> students need to appreciate the intrinsic movement of particles in liquid which exists without the need for stirring.</w:t>
      </w:r>
    </w:p>
    <w:p w14:paraId="527D1D2A" w14:textId="5853576A" w:rsidR="007A748B" w:rsidRPr="0010427F" w:rsidRDefault="007A748B" w:rsidP="00026DEC">
      <w:pPr>
        <w:spacing w:after="180"/>
        <w:rPr>
          <w:b/>
          <w:color w:val="E36C0A" w:themeColor="accent6" w:themeShade="BF"/>
          <w:sz w:val="24"/>
        </w:rPr>
      </w:pPr>
      <w:r w:rsidRPr="0010427F">
        <w:rPr>
          <w:b/>
          <w:color w:val="E36C0A" w:themeColor="accent6" w:themeShade="BF"/>
          <w:sz w:val="24"/>
        </w:rPr>
        <w:t xml:space="preserve">Ways to use this </w:t>
      </w:r>
      <w:r w:rsidR="00B807A7">
        <w:rPr>
          <w:b/>
          <w:color w:val="E36C0A" w:themeColor="accent6" w:themeShade="BF"/>
          <w:sz w:val="24"/>
        </w:rPr>
        <w:t>activity</w:t>
      </w:r>
    </w:p>
    <w:p w14:paraId="24D4A7A8" w14:textId="52DD4DDB" w:rsidR="00BB44B4" w:rsidRDefault="00BB44B4" w:rsidP="00BB44B4">
      <w:pPr>
        <w:spacing w:after="180"/>
      </w:pPr>
      <w:r>
        <w:t xml:space="preserve">Students </w:t>
      </w:r>
      <w:r w:rsidR="00B807A7">
        <w:t xml:space="preserve">may </w:t>
      </w:r>
      <w:r w:rsidR="00284019">
        <w:t>carry out the experiment individually (or in pairs)</w:t>
      </w:r>
      <w:r w:rsidR="00355EE4">
        <w:t>. This will enable them to</w:t>
      </w:r>
      <w:r w:rsidR="00284019">
        <w:t xml:space="preserve"> observe in detail what happens. If this is different to their predictions</w:t>
      </w:r>
      <w:r w:rsidR="00355EE4">
        <w:t>,</w:t>
      </w:r>
      <w:r w:rsidR="00284019">
        <w:t xml:space="preserve"> use discussion to draw out their current understanding of particle movement and if necessary</w:t>
      </w:r>
      <w:r w:rsidR="00B807A7">
        <w:t>,</w:t>
      </w:r>
      <w:r w:rsidR="00284019">
        <w:t xml:space="preserve"> link back to work on the particle model which describes particles as constantly moving. This means that stirring is not necessary for the crystals to dissolve and the colour to spread.</w:t>
      </w:r>
      <w:r w:rsidR="00355EE4">
        <w:t xml:space="preserve"> Stirring would speed the process up.</w:t>
      </w:r>
      <w:bookmarkStart w:id="0" w:name="_GoBack"/>
      <w:bookmarkEnd w:id="0"/>
    </w:p>
    <w:p w14:paraId="319A2660" w14:textId="3E8F6721" w:rsidR="00BB44B4" w:rsidRPr="0010427F" w:rsidRDefault="00585A32" w:rsidP="00BB44B4">
      <w:pPr>
        <w:spacing w:after="180"/>
        <w:rPr>
          <w:b/>
          <w:color w:val="E36C0A" w:themeColor="accent6" w:themeShade="BF"/>
          <w:sz w:val="24"/>
        </w:rPr>
      </w:pPr>
      <w:r>
        <w:rPr>
          <w:b/>
          <w:color w:val="E36C0A" w:themeColor="accent6" w:themeShade="BF"/>
          <w:sz w:val="24"/>
        </w:rPr>
        <w:t>Equipment</w:t>
      </w:r>
    </w:p>
    <w:p w14:paraId="01BF0433" w14:textId="77777777" w:rsidR="00BB44B4" w:rsidRDefault="00BB44B4" w:rsidP="00BB44B4">
      <w:pPr>
        <w:spacing w:after="180"/>
      </w:pPr>
      <w:r w:rsidRPr="00C57FA2">
        <w:t>For each student/pair/group:</w:t>
      </w:r>
    </w:p>
    <w:p w14:paraId="1810CB68" w14:textId="10439902" w:rsidR="00BB44B4" w:rsidRDefault="006A4440" w:rsidP="00BB44B4">
      <w:pPr>
        <w:pStyle w:val="ListParagraph"/>
        <w:numPr>
          <w:ilvl w:val="0"/>
          <w:numId w:val="1"/>
        </w:numPr>
        <w:spacing w:after="180"/>
      </w:pPr>
      <w:r>
        <w:t>‘</w:t>
      </w:r>
      <w:r w:rsidR="00284019">
        <w:t>Coloured crystals’</w:t>
      </w:r>
      <w:r>
        <w:t xml:space="preserve"> </w:t>
      </w:r>
      <w:r w:rsidR="00BB44B4">
        <w:t xml:space="preserve">student </w:t>
      </w:r>
      <w:r>
        <w:t>work</w:t>
      </w:r>
      <w:r w:rsidR="00BB44B4">
        <w:t>sheet</w:t>
      </w:r>
      <w:r>
        <w:t xml:space="preserve"> </w:t>
      </w:r>
    </w:p>
    <w:p w14:paraId="57581512" w14:textId="79356842" w:rsidR="006A4440" w:rsidRDefault="006D0E87" w:rsidP="00BB44B4">
      <w:pPr>
        <w:pStyle w:val="ListParagraph"/>
        <w:numPr>
          <w:ilvl w:val="0"/>
          <w:numId w:val="1"/>
        </w:numPr>
        <w:spacing w:after="180"/>
      </w:pPr>
      <w:r>
        <w:t>wooden toothpick</w:t>
      </w:r>
    </w:p>
    <w:p w14:paraId="5C3639C7" w14:textId="59750BDA" w:rsidR="006D0E87" w:rsidRDefault="006D0E87" w:rsidP="00BB44B4">
      <w:pPr>
        <w:pStyle w:val="ListParagraph"/>
        <w:numPr>
          <w:ilvl w:val="0"/>
          <w:numId w:val="1"/>
        </w:numPr>
        <w:spacing w:after="180"/>
      </w:pPr>
      <w:r>
        <w:t>copper sulfate crystals</w:t>
      </w:r>
    </w:p>
    <w:p w14:paraId="41559161" w14:textId="2BF413AC" w:rsidR="006D0E87" w:rsidRDefault="006D0E87" w:rsidP="00BB44B4">
      <w:pPr>
        <w:pStyle w:val="ListParagraph"/>
        <w:numPr>
          <w:ilvl w:val="0"/>
          <w:numId w:val="1"/>
        </w:numPr>
        <w:spacing w:after="180"/>
      </w:pPr>
      <w:r>
        <w:t>plastic pipette</w:t>
      </w:r>
    </w:p>
    <w:p w14:paraId="692D3E89" w14:textId="4CF7CCB5" w:rsidR="00BB44B4" w:rsidRDefault="006D0E87" w:rsidP="00BB44B4">
      <w:pPr>
        <w:pStyle w:val="ListParagraph"/>
        <w:numPr>
          <w:ilvl w:val="0"/>
          <w:numId w:val="1"/>
        </w:numPr>
        <w:spacing w:after="180"/>
      </w:pPr>
      <w:r>
        <w:t>white paper inside a plastic sleeve</w:t>
      </w:r>
    </w:p>
    <w:p w14:paraId="0DF90965" w14:textId="77777777" w:rsidR="00B26756" w:rsidRPr="0010427F" w:rsidRDefault="00B26756" w:rsidP="00B26756">
      <w:pPr>
        <w:spacing w:after="180"/>
        <w:rPr>
          <w:b/>
          <w:color w:val="E36C0A" w:themeColor="accent6" w:themeShade="BF"/>
          <w:sz w:val="24"/>
        </w:rPr>
      </w:pPr>
      <w:r w:rsidRPr="0010427F">
        <w:rPr>
          <w:b/>
          <w:color w:val="E36C0A" w:themeColor="accent6" w:themeShade="BF"/>
          <w:sz w:val="24"/>
        </w:rPr>
        <w:t>Technician notes</w:t>
      </w:r>
    </w:p>
    <w:p w14:paraId="25EA0D62" w14:textId="6EE71B5C" w:rsidR="00B26756" w:rsidRDefault="00284019" w:rsidP="00B26756">
      <w:pPr>
        <w:spacing w:after="180"/>
      </w:pPr>
      <w:r>
        <w:t>Students will require fine crystals of hydrated copper sulfate as the experiment is carried out in microscale in a small puddle of water of 1cm diameter.</w:t>
      </w:r>
    </w:p>
    <w:p w14:paraId="33119029" w14:textId="58D6553C" w:rsidR="00284019" w:rsidRDefault="00284019" w:rsidP="00B26756">
      <w:pPr>
        <w:spacing w:after="180"/>
      </w:pPr>
      <w:r>
        <w:t>Plastic sheets may simply be wiped and then reused.</w:t>
      </w:r>
    </w:p>
    <w:p w14:paraId="1F102A17" w14:textId="77777777" w:rsidR="00B26756" w:rsidRPr="00585A32" w:rsidRDefault="00B26756" w:rsidP="00B26756">
      <w:pPr>
        <w:spacing w:after="180"/>
        <w:rPr>
          <w:b/>
          <w:color w:val="E36C0A" w:themeColor="accent6" w:themeShade="BF"/>
          <w:sz w:val="24"/>
        </w:rPr>
      </w:pPr>
      <w:r w:rsidRPr="00585A32">
        <w:rPr>
          <w:b/>
          <w:color w:val="E36C0A" w:themeColor="accent6" w:themeShade="BF"/>
          <w:sz w:val="24"/>
        </w:rPr>
        <w:t>Health and safety</w:t>
      </w:r>
    </w:p>
    <w:p w14:paraId="24BCFA0B" w14:textId="77777777" w:rsidR="00585A32" w:rsidRPr="00585A32" w:rsidRDefault="00585A32" w:rsidP="00585A32">
      <w:pPr>
        <w:spacing w:after="180"/>
        <w:rPr>
          <w:b/>
          <w:color w:val="76923C" w:themeColor="accent3" w:themeShade="BF"/>
          <w:sz w:val="24"/>
        </w:rPr>
      </w:pPr>
      <w:r w:rsidRPr="00585A32">
        <w:t>Practical work should be carried out in accordance with local health and safety requirements, guidance from manufacturers and suppliers, and guidance available from CLEAPSS.</w:t>
      </w:r>
    </w:p>
    <w:p w14:paraId="4A2B84C1" w14:textId="2DE9EC04" w:rsidR="00B26756" w:rsidRPr="00585A32" w:rsidRDefault="004861F7" w:rsidP="00B26756">
      <w:pPr>
        <w:spacing w:after="180"/>
        <w:rPr>
          <w:i/>
        </w:rPr>
      </w:pPr>
      <w:r w:rsidRPr="00585A32">
        <w:rPr>
          <w:i/>
        </w:rPr>
        <w:t xml:space="preserve">Copper (II) sulfate (VI)-5-water (hydrated copper sulfate) </w:t>
      </w:r>
    </w:p>
    <w:p w14:paraId="2B356198" w14:textId="2FA12F2B" w:rsidR="003D3A3E" w:rsidRPr="00585A32" w:rsidRDefault="003D3A3E" w:rsidP="003D3A3E">
      <w:pPr>
        <w:autoSpaceDE w:val="0"/>
        <w:autoSpaceDN w:val="0"/>
        <w:adjustRightInd w:val="0"/>
        <w:rPr>
          <w:rFonts w:ascii="Calibri" w:hAnsi="Calibri" w:cs="Calibri"/>
        </w:rPr>
      </w:pPr>
      <w:r w:rsidRPr="00585A32">
        <w:rPr>
          <w:rFonts w:ascii="Calibri" w:hAnsi="Calibri" w:cs="Calibri"/>
        </w:rPr>
        <w:t>Harmful if swallowed. Causes skin irritation.</w:t>
      </w:r>
      <w:r w:rsidR="00B807A7" w:rsidRPr="00585A32">
        <w:rPr>
          <w:rFonts w:ascii="Calibri" w:hAnsi="Calibri" w:cs="Calibri"/>
        </w:rPr>
        <w:t xml:space="preserve"> </w:t>
      </w:r>
      <w:r w:rsidRPr="00585A32">
        <w:rPr>
          <w:rFonts w:ascii="Calibri" w:hAnsi="Calibri" w:cs="Calibri"/>
        </w:rPr>
        <w:t>Causes serious eye</w:t>
      </w:r>
      <w:r w:rsidR="00585A32" w:rsidRPr="00585A32">
        <w:rPr>
          <w:rFonts w:ascii="Calibri" w:hAnsi="Calibri" w:cs="Calibri"/>
        </w:rPr>
        <w:t xml:space="preserve"> </w:t>
      </w:r>
      <w:r w:rsidRPr="00585A32">
        <w:rPr>
          <w:rFonts w:ascii="Calibri" w:hAnsi="Calibri" w:cs="Calibri"/>
        </w:rPr>
        <w:t>damage</w:t>
      </w:r>
      <w:r w:rsidR="00585A32" w:rsidRPr="00585A32">
        <w:rPr>
          <w:rFonts w:ascii="Calibri" w:hAnsi="Calibri" w:cs="Calibri"/>
        </w:rPr>
        <w:t>.</w:t>
      </w:r>
    </w:p>
    <w:p w14:paraId="02102D46" w14:textId="179D2DC4" w:rsidR="003D3A3E" w:rsidRPr="00585A32" w:rsidRDefault="003D3A3E" w:rsidP="003D3A3E">
      <w:pPr>
        <w:spacing w:after="180"/>
        <w:rPr>
          <w:rFonts w:ascii="Calibri" w:hAnsi="Calibri" w:cs="Calibri"/>
        </w:rPr>
      </w:pPr>
      <w:r w:rsidRPr="00585A32">
        <w:rPr>
          <w:rFonts w:ascii="Calibri" w:hAnsi="Calibri" w:cs="Calibri"/>
        </w:rPr>
        <w:t>Very toxic to aquatic life with long lasting effects.</w:t>
      </w:r>
    </w:p>
    <w:p w14:paraId="03F16D55" w14:textId="5ED67244" w:rsidR="003D3A3E" w:rsidRPr="00585A32" w:rsidRDefault="003D3A3E" w:rsidP="003D3A3E">
      <w:pPr>
        <w:spacing w:after="180"/>
      </w:pPr>
      <w:r w:rsidRPr="00585A32">
        <w:t>Eye protection should be worn. A wooden toothpick is suggested to pick up crystals which avoids contact with the skin.</w:t>
      </w:r>
    </w:p>
    <w:p w14:paraId="04A7FDE9" w14:textId="77777777" w:rsidR="00E172C6" w:rsidRPr="0010427F" w:rsidRDefault="00BB44B4" w:rsidP="00026DEC">
      <w:pPr>
        <w:spacing w:after="180"/>
        <w:rPr>
          <w:b/>
          <w:color w:val="E36C0A" w:themeColor="accent6" w:themeShade="BF"/>
          <w:sz w:val="24"/>
        </w:rPr>
      </w:pPr>
      <w:r w:rsidRPr="0010427F">
        <w:rPr>
          <w:b/>
          <w:color w:val="E36C0A" w:themeColor="accent6" w:themeShade="BF"/>
          <w:sz w:val="24"/>
        </w:rPr>
        <w:t>Expected answers</w:t>
      </w:r>
    </w:p>
    <w:p w14:paraId="5926C5DA" w14:textId="0F00A66D" w:rsidR="006D0E87" w:rsidRDefault="006D0E87" w:rsidP="006D0E87">
      <w:pPr>
        <w:spacing w:after="180"/>
      </w:pPr>
      <w:r>
        <w:t>Students should predict that the copper sulfate crystals will dissolve producing a clear blue solution. A full explanation as to why the crystals dissolve should include the concept of the intrinsic movement of the water particles which can then ‘knock into’ the particles of the copper sulfate causing them to break off.</w:t>
      </w:r>
    </w:p>
    <w:p w14:paraId="002F9A06" w14:textId="77777777" w:rsidR="003117F6" w:rsidRPr="0010427F" w:rsidRDefault="00CC78A5" w:rsidP="00026DEC">
      <w:pPr>
        <w:spacing w:after="180"/>
        <w:rPr>
          <w:b/>
          <w:color w:val="E36C0A" w:themeColor="accent6" w:themeShade="BF"/>
          <w:sz w:val="24"/>
        </w:rPr>
      </w:pPr>
      <w:r w:rsidRPr="0010427F">
        <w:rPr>
          <w:b/>
          <w:color w:val="E36C0A" w:themeColor="accent6" w:themeShade="BF"/>
          <w:sz w:val="24"/>
        </w:rPr>
        <w:t>Acknowledgments</w:t>
      </w:r>
    </w:p>
    <w:p w14:paraId="61CF1013" w14:textId="77777777" w:rsidR="006D0E87" w:rsidRDefault="006D0E87" w:rsidP="006D0E87">
      <w:pPr>
        <w:spacing w:after="180"/>
      </w:pPr>
      <w:r w:rsidRPr="002E3B3C">
        <w:t xml:space="preserve">Developed by Helen Harden (UYSEG), from an idea by </w:t>
      </w:r>
      <w:r>
        <w:t xml:space="preserve">Philip Johnson and </w:t>
      </w:r>
      <w:r w:rsidRPr="002E3B3C">
        <w:t>Bob Worley</w:t>
      </w:r>
      <w:r>
        <w:t xml:space="preserve"> (CLEAPSS).</w:t>
      </w:r>
    </w:p>
    <w:p w14:paraId="5FA88151" w14:textId="77777777" w:rsidR="006D0E87" w:rsidRDefault="006D0E87" w:rsidP="006D0E87">
      <w:pPr>
        <w:spacing w:after="180"/>
      </w:pPr>
      <w:r w:rsidRPr="0045323E">
        <w:t xml:space="preserve">Images: </w:t>
      </w:r>
      <w:r>
        <w:t>Helen Harden</w:t>
      </w:r>
    </w:p>
    <w:p w14:paraId="5E75E727" w14:textId="77777777" w:rsidR="006D0E87" w:rsidRPr="00323334" w:rsidRDefault="006D0E87" w:rsidP="006D0E87">
      <w:pPr>
        <w:spacing w:after="180"/>
        <w:rPr>
          <w:b/>
          <w:color w:val="E36C0A" w:themeColor="accent6" w:themeShade="BF"/>
          <w:sz w:val="24"/>
        </w:rPr>
      </w:pPr>
      <w:r w:rsidRPr="00323334">
        <w:rPr>
          <w:b/>
          <w:color w:val="E36C0A" w:themeColor="accent6" w:themeShade="BF"/>
          <w:sz w:val="24"/>
        </w:rPr>
        <w:t>References</w:t>
      </w:r>
    </w:p>
    <w:p w14:paraId="6C319E21" w14:textId="26FD4B3D" w:rsidR="006D0E87" w:rsidRDefault="006D0E87" w:rsidP="006D0E87">
      <w:pPr>
        <w:spacing w:after="180"/>
      </w:pPr>
      <w:r>
        <w:t>Johnstone, A.H.</w:t>
      </w:r>
      <w:r w:rsidR="00355EE4">
        <w:t xml:space="preserve"> </w:t>
      </w:r>
      <w:r>
        <w:t xml:space="preserve">(1991). Why is chemistry difficult to learn? Things are seldom what they seem. </w:t>
      </w:r>
      <w:r w:rsidRPr="0097764C">
        <w:rPr>
          <w:i/>
        </w:rPr>
        <w:t>Journal of Computer Assisted Learning</w:t>
      </w:r>
      <w:r>
        <w:t>, 7, 75-83</w:t>
      </w:r>
    </w:p>
    <w:p w14:paraId="468C4575" w14:textId="24B646F0" w:rsidR="006D0E87" w:rsidRDefault="006D0E87" w:rsidP="006D0E87">
      <w:pPr>
        <w:spacing w:after="180"/>
      </w:pPr>
      <w:r>
        <w:t>Taber, K.S.</w:t>
      </w:r>
      <w:r w:rsidR="00355EE4">
        <w:t xml:space="preserve"> </w:t>
      </w:r>
      <w:r>
        <w:t xml:space="preserve">(2013). Revisiting the chemistry triplet: drawing upon the nature of chemical knowledge and the psychology of learning to inform chemistry education. </w:t>
      </w:r>
      <w:r w:rsidRPr="006C7260">
        <w:rPr>
          <w:i/>
        </w:rPr>
        <w:t>Chemistry Education Research and Practice</w:t>
      </w:r>
      <w:r>
        <w:t>, 14, 156</w:t>
      </w:r>
    </w:p>
    <w:p w14:paraId="54A43A60" w14:textId="7B6A751C" w:rsidR="00355EE4" w:rsidRDefault="00355EE4" w:rsidP="00355EE4">
      <w:pPr>
        <w:widowControl w:val="0"/>
        <w:autoSpaceDE w:val="0"/>
        <w:autoSpaceDN w:val="0"/>
        <w:adjustRightInd w:val="0"/>
        <w:rPr>
          <w:rFonts w:cs="Calibri"/>
          <w:szCs w:val="24"/>
        </w:rPr>
      </w:pPr>
      <w:bookmarkStart w:id="1" w:name="_Hlk516748155"/>
      <w:r w:rsidRPr="009D500B">
        <w:rPr>
          <w:rFonts w:cs="Calibri"/>
          <w:szCs w:val="24"/>
        </w:rPr>
        <w:t xml:space="preserve">Johnson, P. (2012). Introducing particle theory. In Taber, K. (ed.) </w:t>
      </w:r>
      <w:r w:rsidRPr="009D500B">
        <w:rPr>
          <w:rFonts w:cs="Calibri"/>
          <w:i/>
          <w:iCs/>
          <w:szCs w:val="24"/>
        </w:rPr>
        <w:t xml:space="preserve">ASE Science Practice: Teaching Secondary Chemistry. </w:t>
      </w:r>
      <w:r w:rsidRPr="009D500B">
        <w:rPr>
          <w:rFonts w:cs="Calibri"/>
          <w:szCs w:val="24"/>
        </w:rPr>
        <w:t>New edition ed. London: Hodder Education.</w:t>
      </w:r>
    </w:p>
    <w:p w14:paraId="3E1BBB51" w14:textId="77777777" w:rsidR="00355EE4" w:rsidRPr="009D500B" w:rsidRDefault="00355EE4" w:rsidP="00355EE4">
      <w:pPr>
        <w:widowControl w:val="0"/>
        <w:autoSpaceDE w:val="0"/>
        <w:autoSpaceDN w:val="0"/>
        <w:adjustRightInd w:val="0"/>
        <w:rPr>
          <w:rFonts w:cs="Calibri"/>
          <w:szCs w:val="24"/>
        </w:rPr>
      </w:pPr>
    </w:p>
    <w:bookmarkEnd w:id="1"/>
    <w:p w14:paraId="67F06F8D" w14:textId="77777777" w:rsidR="006D0E87" w:rsidRDefault="006D0E87" w:rsidP="006D0E87">
      <w:pPr>
        <w:spacing w:after="180"/>
      </w:pPr>
      <w:r>
        <w:t xml:space="preserve">Bob Worley </w:t>
      </w:r>
      <w:hyperlink r:id="rId9" w:history="1">
        <w:r w:rsidRPr="00D05912">
          <w:rPr>
            <w:rStyle w:val="Hyperlink"/>
          </w:rPr>
          <w:t>https://microchemuk.weebly.com/2-blog-is-this-supposed-to-happen/let-the-particles-do-the-work-a-step-back-to-go-forward</w:t>
        </w:r>
      </w:hyperlink>
      <w:r>
        <w:t xml:space="preserve"> </w:t>
      </w:r>
    </w:p>
    <w:sectPr w:rsidR="006D0E87" w:rsidSect="00585A32">
      <w:headerReference w:type="default" r:id="rId10"/>
      <w:headerReference w:type="first" r:id="rId11"/>
      <w:pgSz w:w="11906" w:h="16838" w:code="9"/>
      <w:pgMar w:top="1440" w:right="1440" w:bottom="1440" w:left="1440"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C01393" w14:textId="77777777" w:rsidR="00564CC4" w:rsidRDefault="00564CC4" w:rsidP="000B473B">
      <w:r>
        <w:separator/>
      </w:r>
    </w:p>
  </w:endnote>
  <w:endnote w:type="continuationSeparator" w:id="0">
    <w:p w14:paraId="77E1BF07" w14:textId="77777777" w:rsidR="00564CC4" w:rsidRDefault="00564CC4"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AFE2AC" w14:textId="77777777" w:rsidR="00564CC4" w:rsidRDefault="00564CC4" w:rsidP="000B473B">
      <w:r>
        <w:separator/>
      </w:r>
    </w:p>
  </w:footnote>
  <w:footnote w:type="continuationSeparator" w:id="0">
    <w:p w14:paraId="08A01628" w14:textId="77777777" w:rsidR="00564CC4" w:rsidRDefault="00564CC4"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6B33FA" w14:textId="490FD9D2" w:rsidR="00201AC2" w:rsidRPr="004E5592" w:rsidRDefault="00201AC2" w:rsidP="00585A32">
    <w:pPr>
      <w:pStyle w:val="Header"/>
      <w:ind w:left="4654" w:firstLine="2546"/>
      <w:rPr>
        <w:b/>
        <w:sz w:val="24"/>
        <w:szCs w:val="24"/>
      </w:rPr>
    </w:pPr>
    <w:r w:rsidRPr="004E5592">
      <w:rPr>
        <w:b/>
        <w:noProof/>
        <w:sz w:val="24"/>
        <w:szCs w:val="24"/>
        <w:lang w:eastAsia="en-GB"/>
      </w:rPr>
      <w:drawing>
        <wp:anchor distT="0" distB="0" distL="114300" distR="114300" simplePos="0" relativeHeight="251663360" behindDoc="0" locked="0" layoutInCell="1" allowOverlap="1" wp14:anchorId="00C5542E" wp14:editId="2D3B2BD9">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520DF415" wp14:editId="7C599D35">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D923C34"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sidR="00585A32">
      <w:rPr>
        <w:b/>
        <w:sz w:val="24"/>
        <w:szCs w:val="24"/>
      </w:rPr>
      <w:t>TEACHER NOTES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1BE294" w14:textId="77777777" w:rsidR="006464A6" w:rsidRDefault="006464A6">
    <w:pPr>
      <w:pStyle w:val="Header"/>
    </w:pPr>
    <w:r w:rsidRPr="004E5592">
      <w:rPr>
        <w:b/>
        <w:noProof/>
        <w:sz w:val="24"/>
        <w:szCs w:val="24"/>
        <w:lang w:eastAsia="en-GB"/>
      </w:rPr>
      <w:drawing>
        <wp:anchor distT="0" distB="0" distL="114300" distR="114300" simplePos="0" relativeHeight="251666432" behindDoc="0" locked="0" layoutInCell="1" allowOverlap="1" wp14:anchorId="22FCB113" wp14:editId="2BD7E71F">
          <wp:simplePos x="0" y="0"/>
          <wp:positionH relativeFrom="column">
            <wp:posOffset>-63374</wp:posOffset>
          </wp:positionH>
          <wp:positionV relativeFrom="paragraph">
            <wp:posOffset>-45902</wp:posOffset>
          </wp:positionV>
          <wp:extent cx="867600" cy="363600"/>
          <wp:effectExtent l="0" t="0" r="0" b="0"/>
          <wp:wrapNone/>
          <wp:docPr id="1"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tab/>
    </w:r>
  </w:p>
  <w:p w14:paraId="42595B92" w14:textId="2C8B9BEC" w:rsidR="006464A6" w:rsidRPr="006464A6" w:rsidRDefault="006464A6">
    <w:pPr>
      <w:pStyle w:val="Header"/>
      <w:rPr>
        <w:b/>
      </w:rPr>
    </w:pPr>
    <w:r>
      <w:rPr>
        <w:noProof/>
      </w:rPr>
      <mc:AlternateContent>
        <mc:Choice Requires="wps">
          <w:drawing>
            <wp:anchor distT="0" distB="0" distL="114300" distR="114300" simplePos="0" relativeHeight="251667456" behindDoc="0" locked="0" layoutInCell="1" allowOverlap="1" wp14:anchorId="02E96A08" wp14:editId="3A64F67A">
              <wp:simplePos x="0" y="0"/>
              <wp:positionH relativeFrom="page">
                <wp:align>left</wp:align>
              </wp:positionH>
              <wp:positionV relativeFrom="paragraph">
                <wp:posOffset>257685</wp:posOffset>
              </wp:positionV>
              <wp:extent cx="7559644" cy="17026"/>
              <wp:effectExtent l="0" t="0" r="22860" b="21590"/>
              <wp:wrapNone/>
              <wp:docPr id="3" name="Straight Connector 3"/>
              <wp:cNvGraphicFramePr/>
              <a:graphic xmlns:a="http://schemas.openxmlformats.org/drawingml/2006/main">
                <a:graphicData uri="http://schemas.microsoft.com/office/word/2010/wordprocessingShape">
                  <wps:wsp>
                    <wps:cNvCnPr/>
                    <wps:spPr>
                      <a:xfrm flipV="1">
                        <a:off x="0" y="0"/>
                        <a:ext cx="7559644" cy="1702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5A2671E" id="Straight Connector 3" o:spid="_x0000_s1026" style="position:absolute;flip:y;z-index:251667456;visibility:visible;mso-wrap-style:square;mso-wrap-distance-left:9pt;mso-wrap-distance-top:0;mso-wrap-distance-right:9pt;mso-wrap-distance-bottom:0;mso-position-horizontal:left;mso-position-horizontal-relative:page;mso-position-vertical:absolute;mso-position-vertical-relative:text" from="0,20.3pt" to="595.25pt,2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" strokecolor="black [3213]">
              <w10:wrap anchorx="page"/>
            </v:line>
          </w:pict>
        </mc:Fallback>
      </mc:AlternateContent>
    </w:r>
    <w:r>
      <w:tab/>
    </w:r>
    <w:r>
      <w:tab/>
    </w:r>
    <w:r w:rsidRPr="006464A6">
      <w:rPr>
        <w:b/>
      </w:rPr>
      <w:t>STUDENT WORKSHEET</w:t>
    </w:r>
    <w:r w:rsidRPr="006464A6">
      <w:rPr>
        <w:b/>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A1A"/>
    <w:rsid w:val="00015578"/>
    <w:rsid w:val="00024731"/>
    <w:rsid w:val="00026DEC"/>
    <w:rsid w:val="000505CA"/>
    <w:rsid w:val="00072C2E"/>
    <w:rsid w:val="0007651D"/>
    <w:rsid w:val="0009089A"/>
    <w:rsid w:val="000947E2"/>
    <w:rsid w:val="00095E04"/>
    <w:rsid w:val="000A057C"/>
    <w:rsid w:val="000B473B"/>
    <w:rsid w:val="000D0E89"/>
    <w:rsid w:val="000E2689"/>
    <w:rsid w:val="0010427F"/>
    <w:rsid w:val="00142613"/>
    <w:rsid w:val="00144DA7"/>
    <w:rsid w:val="0015356E"/>
    <w:rsid w:val="00161D3F"/>
    <w:rsid w:val="001915D4"/>
    <w:rsid w:val="00194675"/>
    <w:rsid w:val="001A1FED"/>
    <w:rsid w:val="001A20ED"/>
    <w:rsid w:val="001A40E2"/>
    <w:rsid w:val="001C4805"/>
    <w:rsid w:val="00201AC2"/>
    <w:rsid w:val="00214608"/>
    <w:rsid w:val="002178AC"/>
    <w:rsid w:val="0022547C"/>
    <w:rsid w:val="0025410A"/>
    <w:rsid w:val="0027553E"/>
    <w:rsid w:val="0028012F"/>
    <w:rsid w:val="002828DF"/>
    <w:rsid w:val="00284019"/>
    <w:rsid w:val="00287876"/>
    <w:rsid w:val="00292C53"/>
    <w:rsid w:val="00294E22"/>
    <w:rsid w:val="002A08F2"/>
    <w:rsid w:val="002C22EA"/>
    <w:rsid w:val="002C59BA"/>
    <w:rsid w:val="002F41B2"/>
    <w:rsid w:val="00301AA9"/>
    <w:rsid w:val="00306CB6"/>
    <w:rsid w:val="003117F6"/>
    <w:rsid w:val="003533B8"/>
    <w:rsid w:val="00355EE4"/>
    <w:rsid w:val="003752BE"/>
    <w:rsid w:val="003A346A"/>
    <w:rsid w:val="003B2917"/>
    <w:rsid w:val="003B541B"/>
    <w:rsid w:val="003D3A3E"/>
    <w:rsid w:val="003E2B2F"/>
    <w:rsid w:val="003E6046"/>
    <w:rsid w:val="003F16F9"/>
    <w:rsid w:val="00430C1F"/>
    <w:rsid w:val="00442595"/>
    <w:rsid w:val="0045323E"/>
    <w:rsid w:val="004861F7"/>
    <w:rsid w:val="0048726C"/>
    <w:rsid w:val="004B0EE1"/>
    <w:rsid w:val="004D0D83"/>
    <w:rsid w:val="004E1DF1"/>
    <w:rsid w:val="004E5592"/>
    <w:rsid w:val="0050055B"/>
    <w:rsid w:val="00524710"/>
    <w:rsid w:val="00543F4B"/>
    <w:rsid w:val="00555342"/>
    <w:rsid w:val="005560E2"/>
    <w:rsid w:val="00564CC4"/>
    <w:rsid w:val="005768F5"/>
    <w:rsid w:val="00585A32"/>
    <w:rsid w:val="005A452E"/>
    <w:rsid w:val="005A6EE7"/>
    <w:rsid w:val="005E07F2"/>
    <w:rsid w:val="005F1A7B"/>
    <w:rsid w:val="006355D8"/>
    <w:rsid w:val="00642ECD"/>
    <w:rsid w:val="006464A6"/>
    <w:rsid w:val="006502A0"/>
    <w:rsid w:val="006772F5"/>
    <w:rsid w:val="006A4440"/>
    <w:rsid w:val="006B0615"/>
    <w:rsid w:val="006D0E87"/>
    <w:rsid w:val="006D166B"/>
    <w:rsid w:val="006F3279"/>
    <w:rsid w:val="00704AEE"/>
    <w:rsid w:val="00722F9A"/>
    <w:rsid w:val="00754539"/>
    <w:rsid w:val="00781BC6"/>
    <w:rsid w:val="007A3C86"/>
    <w:rsid w:val="007A683E"/>
    <w:rsid w:val="007A748B"/>
    <w:rsid w:val="007D1D65"/>
    <w:rsid w:val="007E0A9E"/>
    <w:rsid w:val="007E5309"/>
    <w:rsid w:val="00800DE1"/>
    <w:rsid w:val="00813F47"/>
    <w:rsid w:val="008450D6"/>
    <w:rsid w:val="00856FCA"/>
    <w:rsid w:val="00873B8C"/>
    <w:rsid w:val="00880E3B"/>
    <w:rsid w:val="008A405F"/>
    <w:rsid w:val="008C7F34"/>
    <w:rsid w:val="008E580C"/>
    <w:rsid w:val="008F4BCC"/>
    <w:rsid w:val="0090047A"/>
    <w:rsid w:val="009158ED"/>
    <w:rsid w:val="00925026"/>
    <w:rsid w:val="00931264"/>
    <w:rsid w:val="00942A4B"/>
    <w:rsid w:val="00961D59"/>
    <w:rsid w:val="009B2D55"/>
    <w:rsid w:val="009C0343"/>
    <w:rsid w:val="009E0D11"/>
    <w:rsid w:val="00A00A1A"/>
    <w:rsid w:val="00A24A16"/>
    <w:rsid w:val="00A37D14"/>
    <w:rsid w:val="00A6111E"/>
    <w:rsid w:val="00A6168B"/>
    <w:rsid w:val="00A62028"/>
    <w:rsid w:val="00AA6236"/>
    <w:rsid w:val="00AB6AE7"/>
    <w:rsid w:val="00AD21F5"/>
    <w:rsid w:val="00B00348"/>
    <w:rsid w:val="00B06225"/>
    <w:rsid w:val="00B23B31"/>
    <w:rsid w:val="00B23C7A"/>
    <w:rsid w:val="00B26756"/>
    <w:rsid w:val="00B305F5"/>
    <w:rsid w:val="00B46FF9"/>
    <w:rsid w:val="00B73D81"/>
    <w:rsid w:val="00B75483"/>
    <w:rsid w:val="00B807A7"/>
    <w:rsid w:val="00BA7952"/>
    <w:rsid w:val="00BB44B4"/>
    <w:rsid w:val="00BF0BBF"/>
    <w:rsid w:val="00BF31BB"/>
    <w:rsid w:val="00BF6C8A"/>
    <w:rsid w:val="00C05571"/>
    <w:rsid w:val="00C246CE"/>
    <w:rsid w:val="00C57FA2"/>
    <w:rsid w:val="00CC2E4D"/>
    <w:rsid w:val="00CC78A5"/>
    <w:rsid w:val="00CC7B16"/>
    <w:rsid w:val="00CE15FE"/>
    <w:rsid w:val="00D02E15"/>
    <w:rsid w:val="00D14F44"/>
    <w:rsid w:val="00D278E8"/>
    <w:rsid w:val="00D421E8"/>
    <w:rsid w:val="00D44604"/>
    <w:rsid w:val="00D479B3"/>
    <w:rsid w:val="00D52283"/>
    <w:rsid w:val="00D524E5"/>
    <w:rsid w:val="00D55AAD"/>
    <w:rsid w:val="00D72FEF"/>
    <w:rsid w:val="00D755FA"/>
    <w:rsid w:val="00D80734"/>
    <w:rsid w:val="00DC4A4E"/>
    <w:rsid w:val="00DD1874"/>
    <w:rsid w:val="00DD63BD"/>
    <w:rsid w:val="00E172C6"/>
    <w:rsid w:val="00E24309"/>
    <w:rsid w:val="00E53D82"/>
    <w:rsid w:val="00E872CF"/>
    <w:rsid w:val="00E9330A"/>
    <w:rsid w:val="00EE6B97"/>
    <w:rsid w:val="00F12C3B"/>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748449"/>
  <w15:docId w15:val="{90A0CA93-5BFF-40C1-88A6-344442EC7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character" w:styleId="Hyperlink">
    <w:name w:val="Hyperlink"/>
    <w:basedOn w:val="DefaultParagraphFont"/>
    <w:uiPriority w:val="99"/>
    <w:unhideWhenUsed/>
    <w:rsid w:val="006D0E8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microchemuk.weebly.com/2-blog-is-this-supposed-to-happen/let-the-particles-do-the-work-a-step-back-to-go-forwar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3</Pages>
  <Words>731</Words>
  <Characters>4167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4889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HEC Harden</cp:lastModifiedBy>
  <cp:revision>9</cp:revision>
  <cp:lastPrinted>2017-02-24T16:20:00Z</cp:lastPrinted>
  <dcterms:created xsi:type="dcterms:W3CDTF">2018-03-28T15:01:00Z</dcterms:created>
  <dcterms:modified xsi:type="dcterms:W3CDTF">2018-06-15T13:08:00Z</dcterms:modified>
</cp:coreProperties>
</file>